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noProof/>
          <w:lang w:eastAsia="en-GB"/>
        </w:rPr>
        <w:id w:val="2000993162"/>
        <w:lock w:val="contentLocked"/>
        <w:picture/>
      </w:sdtPr>
      <w:sdtEndPr/>
      <w:sdtContent>
        <w:p w:rsidR="004961C6" w:rsidRPr="009B01A3" w:rsidRDefault="004961C6" w:rsidP="00395F84">
          <w:pPr>
            <w:jc w:val="center"/>
          </w:pPr>
          <w:r w:rsidRPr="009B01A3">
            <w:rPr>
              <w:noProof/>
              <w:lang w:eastAsia="en-GB"/>
            </w:rPr>
            <w:drawing>
              <wp:inline distT="0" distB="0" distL="0" distR="0" wp14:anchorId="79B2D1B6" wp14:editId="5C24272E">
                <wp:extent cx="1800000" cy="12274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30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0000" cy="1227453"/>
                        </a:xfrm>
                        <a:prstGeom prst="rect">
                          <a:avLst/>
                        </a:prstGeom>
                      </pic:spPr>
                    </pic:pic>
                  </a:graphicData>
                </a:graphic>
              </wp:inline>
            </w:drawing>
          </w:r>
        </w:p>
      </w:sdtContent>
    </w:sdt>
    <w:p w:rsidR="004961C6" w:rsidRDefault="004961C6" w:rsidP="00395F84">
      <w:pPr>
        <w:pStyle w:val="ReferenceNumber"/>
        <w:rPr>
          <w:rStyle w:val="Regular"/>
        </w:rPr>
      </w:pPr>
    </w:p>
    <w:p w:rsidR="004961C6" w:rsidRPr="00C252D9" w:rsidRDefault="004961C6" w:rsidP="00395F84">
      <w:pPr>
        <w:pStyle w:val="ReferenceNumber"/>
      </w:pPr>
      <w:r w:rsidRPr="00C252D9">
        <w:t>EIOPA-</w:t>
      </w:r>
      <w:sdt>
        <w:sdtPr>
          <w:id w:val="-1605414361"/>
        </w:sdtPr>
        <w:sdtEndPr/>
        <w:sdtContent>
          <w:r w:rsidRPr="00C252D9">
            <w:t>1</w:t>
          </w:r>
          <w:r w:rsidR="00286D48">
            <w:t>7</w:t>
          </w:r>
          <w:r w:rsidRPr="00C252D9">
            <w:t>/</w:t>
          </w:r>
          <w:r w:rsidR="00286D48">
            <w:t>126</w:t>
          </w:r>
        </w:sdtContent>
      </w:sdt>
      <w:r w:rsidRPr="00C252D9">
        <w:br/>
      </w:r>
      <w:sdt>
        <w:sdtPr>
          <w:id w:val="-113525082"/>
        </w:sdtPr>
        <w:sdtEndPr/>
        <w:sdtContent>
          <w:r w:rsidR="00286D48">
            <w:t>1</w:t>
          </w:r>
          <w:r w:rsidR="000671DF">
            <w:t>8</w:t>
          </w:r>
          <w:r w:rsidR="00286D48">
            <w:t xml:space="preserve"> </w:t>
          </w:r>
          <w:r w:rsidR="000671DF">
            <w:t>June</w:t>
          </w:r>
          <w:r w:rsidR="00286D48">
            <w:t xml:space="preserve"> 2017</w:t>
          </w:r>
        </w:sdtContent>
      </w:sdt>
    </w:p>
    <w:p w:rsidR="004961C6" w:rsidRPr="00C252D9" w:rsidRDefault="004961C6" w:rsidP="00395F84">
      <w:pPr>
        <w:pStyle w:val="ReferenceNumber"/>
        <w:rPr>
          <w:rStyle w:val="Regular"/>
        </w:rPr>
      </w:pPr>
    </w:p>
    <w:p w:rsidR="004961C6" w:rsidRDefault="004961C6" w:rsidP="00395F84">
      <w:pPr>
        <w:pStyle w:val="Title"/>
      </w:pPr>
      <w:r>
        <w:t>Errata: Guidelines on reporting for Financial Stability Purposes</w:t>
      </w:r>
    </w:p>
    <w:p w:rsidR="004961C6" w:rsidRDefault="004961C6" w:rsidP="00395F84">
      <w:r>
        <w:t xml:space="preserve">The following corrections have been reflected in the updated </w:t>
      </w:r>
      <w:r w:rsidRPr="0007745F">
        <w:t>Guidelines on reporting for Financial Stability Purposes</w:t>
      </w:r>
      <w:r>
        <w:t xml:space="preserve"> (incl. annexes). </w:t>
      </w:r>
    </w:p>
    <w:p w:rsidR="004961C6" w:rsidRDefault="004961C6" w:rsidP="00395F84">
      <w:pPr>
        <w:pStyle w:val="Heading1"/>
      </w:pPr>
      <w:r>
        <w:t>Guidelines (main document)</w:t>
      </w:r>
    </w:p>
    <w:p w:rsidR="004961C6" w:rsidRDefault="004961C6" w:rsidP="00395F84">
      <w:r>
        <w:rPr>
          <w:rStyle w:val="Bold"/>
        </w:rPr>
        <w:t xml:space="preserve">Paragraph </w:t>
      </w:r>
      <w:r w:rsidRPr="0007745F">
        <w:rPr>
          <w:rStyle w:val="Bold"/>
        </w:rPr>
        <w:t>1.5</w:t>
      </w:r>
      <w:r>
        <w:rPr>
          <w:rStyle w:val="Bold"/>
        </w:rPr>
        <w:t>, first sentence</w:t>
      </w:r>
      <w:r w:rsidRPr="0007745F">
        <w:rPr>
          <w:rStyle w:val="Bold"/>
        </w:rPr>
        <w:t>:</w:t>
      </w:r>
      <w:r>
        <w:t xml:space="preserve"> </w:t>
      </w:r>
      <w:r w:rsidRPr="00AF3EC4">
        <w:t>For insurance and reinsurance groups most of the information requested for financial stability purposes is also required for supervisory reporting according to Article</w:t>
      </w:r>
      <w:r w:rsidRPr="0007745F">
        <w:t xml:space="preserve"> 254 of Directive 2009/138/EC of the European Parliament and of the Council (hereafter Solvency II Directive). </w:t>
      </w:r>
    </w:p>
    <w:p w:rsidR="004961C6" w:rsidRPr="0007745F" w:rsidRDefault="004961C6" w:rsidP="00395F84">
      <w:r>
        <w:rPr>
          <w:rStyle w:val="Bold"/>
        </w:rPr>
        <w:t xml:space="preserve">Paragraph </w:t>
      </w:r>
      <w:r w:rsidRPr="0007745F">
        <w:rPr>
          <w:rStyle w:val="Bold"/>
        </w:rPr>
        <w:t>1.10</w:t>
      </w:r>
      <w:r>
        <w:rPr>
          <w:rStyle w:val="Bold"/>
        </w:rPr>
        <w:t xml:space="preserve">: </w:t>
      </w:r>
      <w:r w:rsidRPr="0007745F">
        <w:t xml:space="preserve">The deadline for submission of information described in these Guidelines is 2 weeks after the deadline for quarterly reporting by individual undertakings </w:t>
      </w:r>
      <w:r>
        <w:t>(…)</w:t>
      </w:r>
    </w:p>
    <w:p w:rsidR="004961C6" w:rsidRDefault="004961C6" w:rsidP="00395F84">
      <w:r>
        <w:rPr>
          <w:rStyle w:val="Bold"/>
        </w:rPr>
        <w:t>Paragraph 1.44 g)</w:t>
      </w:r>
      <w:r w:rsidRPr="0007745F">
        <w:rPr>
          <w:rStyle w:val="Bold"/>
        </w:rPr>
        <w:t>:</w:t>
      </w:r>
      <w:r>
        <w:t xml:space="preserve"> </w:t>
      </w:r>
      <w:r w:rsidRPr="0007745F">
        <w:t xml:space="preserve">template S.25.04.13 of Technical Annex A, specifying basic information on the SCR, regardless of the method used for the calculation of the group solvency, following the instructions </w:t>
      </w:r>
      <w:r>
        <w:t>(…)</w:t>
      </w:r>
    </w:p>
    <w:p w:rsidR="004961C6" w:rsidRPr="0007745F" w:rsidRDefault="004961C6" w:rsidP="00395F84">
      <w:r w:rsidRPr="0007745F">
        <w:rPr>
          <w:rStyle w:val="Bold"/>
        </w:rPr>
        <w:t>Paragraph 1.45:</w:t>
      </w:r>
      <w:r>
        <w:t xml:space="preserve"> </w:t>
      </w:r>
      <w:r w:rsidRPr="0007745F">
        <w:t xml:space="preserve">Individual insurance and reinsurance undertakings and insurance third country branches falling within the scope of </w:t>
      </w:r>
      <w:r w:rsidR="000671DF">
        <w:t>Guideline 1 and Guideline 2</w:t>
      </w:r>
      <w:r w:rsidRPr="0007745F">
        <w:t xml:space="preserve"> should submit annually to the national supervisory authority the following information:</w:t>
      </w:r>
    </w:p>
    <w:p w:rsidR="004961C6" w:rsidRPr="0007745F" w:rsidRDefault="004961C6" w:rsidP="00395F84">
      <w:proofErr w:type="gramStart"/>
      <w:r>
        <w:t>a</w:t>
      </w:r>
      <w:proofErr w:type="gramEnd"/>
      <w:r>
        <w:t xml:space="preserve">) </w:t>
      </w:r>
      <w:r w:rsidRPr="0007745F">
        <w:t xml:space="preserve">template S.01.01.10 of Technical Annex A or template S.01.01.14 of Technical Annex A, in case of branches of third-country insurance undertakings, specifying </w:t>
      </w:r>
      <w:r>
        <w:t>(…)</w:t>
      </w:r>
    </w:p>
    <w:p w:rsidR="004961C6" w:rsidRPr="0007745F" w:rsidRDefault="004961C6" w:rsidP="00395F84">
      <w:r w:rsidRPr="0007745F">
        <w:rPr>
          <w:rStyle w:val="Bold"/>
        </w:rPr>
        <w:t>Paragraph 1.47</w:t>
      </w:r>
      <w:r w:rsidR="00C76E3D">
        <w:rPr>
          <w:rStyle w:val="Bold"/>
        </w:rPr>
        <w:t xml:space="preserve"> a)</w:t>
      </w:r>
      <w:r w:rsidRPr="0007745F">
        <w:rPr>
          <w:rStyle w:val="Bold"/>
        </w:rPr>
        <w:t>:</w:t>
      </w:r>
      <w:r>
        <w:t xml:space="preserve"> </w:t>
      </w:r>
      <w:r w:rsidRPr="0007745F">
        <w:t xml:space="preserve">template S.01.01.11 of Technical Annex A or template S.01.01.15 of Technical Annex A, in case of branches of third-country insurance undertakings, specifying </w:t>
      </w:r>
      <w:r>
        <w:t>(…)</w:t>
      </w:r>
    </w:p>
    <w:p w:rsidR="004961C6" w:rsidRPr="0007745F" w:rsidRDefault="00C76E3D" w:rsidP="00395F84">
      <w:r w:rsidRPr="0007745F">
        <w:rPr>
          <w:rStyle w:val="Bold"/>
        </w:rPr>
        <w:t>Paragraph 1.47</w:t>
      </w:r>
      <w:r>
        <w:rPr>
          <w:rStyle w:val="Bold"/>
        </w:rPr>
        <w:t xml:space="preserve"> b)</w:t>
      </w:r>
      <w:r w:rsidRPr="0007745F">
        <w:rPr>
          <w:rStyle w:val="Bold"/>
        </w:rPr>
        <w:t>:</w:t>
      </w:r>
      <w:r>
        <w:rPr>
          <w:rStyle w:val="Bold"/>
        </w:rPr>
        <w:t xml:space="preserve"> </w:t>
      </w:r>
      <w:r w:rsidR="004961C6" w:rsidRPr="0007745F">
        <w:t xml:space="preserve">template S.01.02.01 of Annex I of the Implementing Technical Standard on Submission of Information or template S.01.02.07 of Annex III of the Guidelines on the supervision of branches of third-country insurance undertakings, specifying </w:t>
      </w:r>
      <w:r w:rsidR="004961C6">
        <w:t>(…)</w:t>
      </w:r>
    </w:p>
    <w:p w:rsidR="004961C6" w:rsidRPr="00AA13DC" w:rsidRDefault="004961C6" w:rsidP="00395F84">
      <w:r w:rsidRPr="00AA13DC">
        <w:rPr>
          <w:rStyle w:val="Bold"/>
        </w:rPr>
        <w:t>Paragraph 1.50:</w:t>
      </w:r>
      <w:r>
        <w:t xml:space="preserve"> </w:t>
      </w:r>
      <w:r w:rsidRPr="00AA13DC">
        <w:t>National supervisory authorities should evaluate the data received using the data plausibility checks as published by EIOPA</w:t>
      </w:r>
      <w:r w:rsidRPr="00AA13DC">
        <w:rPr>
          <w:rStyle w:val="FootnoteReference"/>
        </w:rPr>
        <w:footnoteReference w:id="1"/>
      </w:r>
      <w:r w:rsidRPr="00AA13DC">
        <w:t>.</w:t>
      </w:r>
    </w:p>
    <w:p w:rsidR="004961C6" w:rsidRDefault="004961C6" w:rsidP="00395F84">
      <w:r w:rsidRPr="00AA13DC">
        <w:rPr>
          <w:rStyle w:val="Bold"/>
        </w:rPr>
        <w:t>Paragraph 1.52:</w:t>
      </w:r>
      <w:r>
        <w:t xml:space="preserve"> The </w:t>
      </w:r>
      <w:r w:rsidR="00C76E3D">
        <w:t>expression</w:t>
      </w:r>
      <w:r>
        <w:t xml:space="preserve"> "</w:t>
      </w:r>
      <w:r w:rsidRPr="00AA13DC">
        <w:t>regulatory</w:t>
      </w:r>
      <w:r>
        <w:t xml:space="preserve"> returns" changed to "regulatory</w:t>
      </w:r>
      <w:r w:rsidRPr="00AA13DC">
        <w:t xml:space="preserve"> data submissions</w:t>
      </w:r>
      <w:r>
        <w:t>"</w:t>
      </w:r>
    </w:p>
    <w:p w:rsidR="004961C6" w:rsidRDefault="004961C6" w:rsidP="00395F84">
      <w:pPr>
        <w:pStyle w:val="Heading1"/>
      </w:pPr>
      <w:r>
        <w:lastRenderedPageBreak/>
        <w:t>Technical Annex A</w:t>
      </w:r>
    </w:p>
    <w:p w:rsidR="004961C6" w:rsidRDefault="00C76E3D" w:rsidP="00395F84">
      <w:r>
        <w:t xml:space="preserve">Label of C0010/R0950 </w:t>
      </w:r>
      <w:r w:rsidR="004961C6" w:rsidRPr="00B50FD5">
        <w:t>in template S.01.01.10</w:t>
      </w:r>
      <w:r w:rsidR="004961C6">
        <w:t xml:space="preserve">, </w:t>
      </w:r>
      <w:r w:rsidR="004961C6" w:rsidRPr="00B50FD5">
        <w:t xml:space="preserve">S.01.01.12 </w:t>
      </w:r>
      <w:r w:rsidR="004961C6">
        <w:t xml:space="preserve">and </w:t>
      </w:r>
      <w:r w:rsidR="004961C6" w:rsidRPr="00B50FD5">
        <w:t>S.01.01.14 corrected to "Duration of technical provisions"</w:t>
      </w:r>
      <w:r>
        <w:t>.</w:t>
      </w:r>
    </w:p>
    <w:p w:rsidR="004961C6" w:rsidRDefault="00C76E3D" w:rsidP="00395F84">
      <w:r>
        <w:t xml:space="preserve">Label of C0010/R0980 </w:t>
      </w:r>
      <w:r w:rsidR="004961C6" w:rsidRPr="00B50FD5">
        <w:t>in template S.01.01.11</w:t>
      </w:r>
      <w:r w:rsidR="004961C6">
        <w:t>,</w:t>
      </w:r>
      <w:r w:rsidR="004961C6" w:rsidRPr="00B50FD5">
        <w:t xml:space="preserve"> </w:t>
      </w:r>
      <w:r w:rsidR="004961C6">
        <w:t xml:space="preserve">S.01.01.13 and </w:t>
      </w:r>
      <w:proofErr w:type="gramStart"/>
      <w:r w:rsidR="004961C6" w:rsidRPr="00B50FD5">
        <w:t>S.01.01.1</w:t>
      </w:r>
      <w:r w:rsidR="004961C6">
        <w:t>5</w:t>
      </w:r>
      <w:r w:rsidR="004961C6" w:rsidRPr="00B50FD5">
        <w:t xml:space="preserve">  corrected</w:t>
      </w:r>
      <w:proofErr w:type="gramEnd"/>
      <w:r w:rsidR="004961C6" w:rsidRPr="00B50FD5">
        <w:t xml:space="preserve"> to "Lapses"</w:t>
      </w:r>
      <w:r>
        <w:t>.</w:t>
      </w:r>
    </w:p>
    <w:p w:rsidR="008D53F9" w:rsidRDefault="008D53F9" w:rsidP="008D53F9">
      <w:r>
        <w:t>I</w:t>
      </w:r>
      <w:r w:rsidRPr="00B50FD5">
        <w:t>n template S.0</w:t>
      </w:r>
      <w:r>
        <w:t>5</w:t>
      </w:r>
      <w:r w:rsidRPr="00B50FD5">
        <w:t>.01.1</w:t>
      </w:r>
      <w:r>
        <w:t>3</w:t>
      </w:r>
      <w:r w:rsidRPr="00B50FD5">
        <w:t xml:space="preserve"> </w:t>
      </w:r>
      <w:r>
        <w:t xml:space="preserve">cells </w:t>
      </w:r>
      <w:r w:rsidR="002C5F5D" w:rsidRPr="002C5F5D">
        <w:t>C0200/R0110–R0550</w:t>
      </w:r>
      <w:r>
        <w:t xml:space="preserve"> </w:t>
      </w:r>
      <w:r w:rsidR="002C5F5D">
        <w:t xml:space="preserve">and </w:t>
      </w:r>
      <w:r w:rsidR="002C5F5D" w:rsidRPr="00114DBE">
        <w:rPr>
          <w:rFonts w:cs="Times New Roman"/>
          <w:lang w:val="en-US"/>
        </w:rPr>
        <w:t>C0300/R1410–R1900</w:t>
      </w:r>
      <w:r w:rsidR="002C5F5D">
        <w:rPr>
          <w:rFonts w:cs="Times New Roman"/>
          <w:lang w:val="en-US"/>
        </w:rPr>
        <w:t xml:space="preserve"> </w:t>
      </w:r>
      <w:r>
        <w:t>are uncrossed.</w:t>
      </w:r>
    </w:p>
    <w:p w:rsidR="002C5F5D" w:rsidRDefault="002C5F5D" w:rsidP="00395F84">
      <w:r w:rsidRPr="002C5F5D">
        <w:t>Claims incurred</w:t>
      </w:r>
      <w:r>
        <w:t xml:space="preserve"> – Net item identification number of the row is corrected from “R1800” into “R1700”.</w:t>
      </w:r>
    </w:p>
    <w:p w:rsidR="004961C6" w:rsidRDefault="00C76E3D" w:rsidP="00395F84">
      <w:r>
        <w:t xml:space="preserve">Label of C0180 </w:t>
      </w:r>
      <w:r w:rsidR="004961C6" w:rsidRPr="00B50FD5">
        <w:t>in template S.14.01.10 corrected to "Best Estimate and Technical Provisions as a whole"</w:t>
      </w:r>
      <w:r>
        <w:t>.</w:t>
      </w:r>
    </w:p>
    <w:p w:rsidR="004961C6" w:rsidRDefault="00C76E3D" w:rsidP="00395F84">
      <w:r>
        <w:t>Label of C0010/R00</w:t>
      </w:r>
      <w:r w:rsidR="00214D1A">
        <w:t>3</w:t>
      </w:r>
      <w:r>
        <w:t xml:space="preserve">0 </w:t>
      </w:r>
      <w:r w:rsidR="004961C6" w:rsidRPr="00B50FD5">
        <w:t>in template S.25.04.13 corrected to "Sol</w:t>
      </w:r>
      <w:r w:rsidR="004961C6">
        <w:t>vency Capital Requirement Floor</w:t>
      </w:r>
      <w:r w:rsidR="004961C6" w:rsidRPr="00B50FD5">
        <w:t>"</w:t>
      </w:r>
      <w:r>
        <w:t>.</w:t>
      </w:r>
    </w:p>
    <w:p w:rsidR="004961C6" w:rsidRDefault="004961C6" w:rsidP="00395F84">
      <w:pPr>
        <w:pStyle w:val="Heading1"/>
      </w:pPr>
      <w:r w:rsidRPr="00B50FD5">
        <w:t xml:space="preserve">Technical Annex </w:t>
      </w:r>
      <w:r>
        <w:t>B</w:t>
      </w:r>
    </w:p>
    <w:p w:rsidR="004961C6" w:rsidRPr="00B50FD5" w:rsidRDefault="004961C6" w:rsidP="00395F84">
      <w:pPr>
        <w:pStyle w:val="Heading2"/>
      </w:pPr>
      <w:r w:rsidRPr="005C59B8">
        <w:t>S.01.01. - Content of the submission</w:t>
      </w:r>
    </w:p>
    <w:tbl>
      <w:tblPr>
        <w:tblW w:w="0" w:type="auto"/>
        <w:tblLook w:val="04A0" w:firstRow="1" w:lastRow="0" w:firstColumn="1" w:lastColumn="0" w:noHBand="0" w:noVBand="1"/>
      </w:tblPr>
      <w:tblGrid>
        <w:gridCol w:w="1972"/>
        <w:gridCol w:w="2834"/>
        <w:gridCol w:w="4436"/>
      </w:tblGrid>
      <w:tr w:rsidR="004961C6" w:rsidRPr="005C59B8" w:rsidTr="00395F84">
        <w:trPr>
          <w:trHeight w:val="1266"/>
        </w:trPr>
        <w:tc>
          <w:tcPr>
            <w:tcW w:w="1972" w:type="dxa"/>
          </w:tcPr>
          <w:p w:rsidR="004961C6" w:rsidRPr="005C59B8" w:rsidRDefault="004961C6" w:rsidP="00395F84">
            <w:r w:rsidRPr="005C59B8">
              <w:t>C0010/R0980</w:t>
            </w:r>
          </w:p>
        </w:tc>
        <w:tc>
          <w:tcPr>
            <w:tcW w:w="2834" w:type="dxa"/>
            <w:noWrap/>
          </w:tcPr>
          <w:p w:rsidR="004961C6" w:rsidRPr="005C59B8" w:rsidRDefault="004961C6" w:rsidP="00395F84">
            <w:r w:rsidRPr="005C59B8">
              <w:t xml:space="preserve">S.41.01 - Lapses </w:t>
            </w:r>
          </w:p>
        </w:tc>
        <w:tc>
          <w:tcPr>
            <w:tcW w:w="4436" w:type="dxa"/>
          </w:tcPr>
          <w:p w:rsidR="004961C6" w:rsidRPr="005C59B8" w:rsidRDefault="004961C6" w:rsidP="00395F84">
            <w:r w:rsidRPr="005C59B8">
              <w:t>One of the options in the following closed list shall be used:</w:t>
            </w:r>
          </w:p>
          <w:p w:rsidR="004961C6" w:rsidRPr="005C59B8" w:rsidRDefault="004961C6" w:rsidP="00395F84">
            <w:r w:rsidRPr="005C59B8">
              <w:t>1 – Reported</w:t>
            </w:r>
          </w:p>
          <w:p w:rsidR="004961C6" w:rsidRPr="005C59B8" w:rsidRDefault="00214D1A" w:rsidP="00395F84">
            <w:r>
              <w:t>13</w:t>
            </w:r>
            <w:r w:rsidR="004961C6" w:rsidRPr="005C59B8">
              <w:t xml:space="preserve"> – Not reported as method 2 is used exclusively</w:t>
            </w:r>
          </w:p>
          <w:p w:rsidR="004961C6" w:rsidRPr="005C59B8" w:rsidRDefault="004961C6" w:rsidP="00395F84">
            <w:r w:rsidRPr="005C59B8">
              <w:t>0 – Not reported other reason (in this case special justification is needed)</w:t>
            </w:r>
          </w:p>
        </w:tc>
      </w:tr>
    </w:tbl>
    <w:p w:rsidR="00F83588" w:rsidRPr="00F83588" w:rsidRDefault="00F83588" w:rsidP="00F83588">
      <w:pPr>
        <w:pStyle w:val="Heading2"/>
      </w:pPr>
      <w:r w:rsidRPr="00F83588">
        <w:t>S.05.01. – Premiums, claims and expenses by line of business</w:t>
      </w:r>
    </w:p>
    <w:p w:rsidR="00C241C7" w:rsidRDefault="00F83588" w:rsidP="00F83588">
      <w:pPr>
        <w:rPr>
          <w:rFonts w:ascii="Times New Roman" w:hAnsi="Times New Roman"/>
          <w:sz w:val="20"/>
          <w:szCs w:val="20"/>
          <w:lang w:val="en-US"/>
        </w:rPr>
      </w:pPr>
      <w:r w:rsidRPr="00F83588">
        <w:rPr>
          <w:b/>
        </w:rPr>
        <w:t>In paragraph 3 of the general comments:</w:t>
      </w:r>
      <w:r>
        <w:t xml:space="preserve"> </w:t>
      </w:r>
      <w:r w:rsidRPr="00F83588">
        <w:t xml:space="preserve">This template shall be reported from a consolidated accounting perspective, i.e.: Local GAAP or IFRS (if allowed as local GAAP) valuation but using SII lines of business. Groups shall use the recognition and valuation basis as for the published financial </w:t>
      </w:r>
      <w:proofErr w:type="gramStart"/>
      <w:r w:rsidRPr="00F83588">
        <w:t>statements,</w:t>
      </w:r>
      <w:proofErr w:type="gramEnd"/>
      <w:r w:rsidRPr="00F83588">
        <w:t xml:space="preserve">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r w:rsidRPr="00AB14C8">
        <w:rPr>
          <w:rFonts w:ascii="Times New Roman" w:hAnsi="Times New Roman"/>
          <w:sz w:val="20"/>
          <w:szCs w:val="20"/>
          <w:lang w:val="en-US"/>
        </w:rPr>
        <w:t>.</w:t>
      </w:r>
    </w:p>
    <w:p w:rsidR="00E51406" w:rsidRDefault="00E51406" w:rsidP="00E51406">
      <w:r>
        <w:t>The wording “financial year” has been replaced by “reporting period” throughout the instructions.</w:t>
      </w:r>
    </w:p>
    <w:p w:rsidR="002C5F5D" w:rsidRDefault="002C5F5D" w:rsidP="00E51406"/>
    <w:p w:rsidR="00E51406" w:rsidRPr="00C241C7" w:rsidRDefault="00114DBE" w:rsidP="00FC2961">
      <w:r>
        <w:t>The following items were added to the LOG: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953"/>
      </w:tblGrid>
      <w:tr w:rsidR="00E51406" w:rsidRPr="00E51406" w:rsidTr="00F6060B">
        <w:tc>
          <w:tcPr>
            <w:tcW w:w="1526" w:type="dxa"/>
            <w:tcBorders>
              <w:top w:val="single" w:sz="4" w:space="0" w:color="auto"/>
              <w:left w:val="single" w:sz="4" w:space="0" w:color="auto"/>
              <w:bottom w:val="single" w:sz="4" w:space="0" w:color="auto"/>
              <w:right w:val="single" w:sz="4" w:space="0" w:color="auto"/>
            </w:tcBorders>
          </w:tcPr>
          <w:p w:rsidR="00E51406" w:rsidRPr="00E51406" w:rsidRDefault="00E51406" w:rsidP="00F6060B">
            <w:pPr>
              <w:rPr>
                <w:rFonts w:cs="Times New Roman"/>
                <w:lang w:val="en-US"/>
              </w:rPr>
            </w:pPr>
            <w:r w:rsidRPr="00E51406">
              <w:rPr>
                <w:rFonts w:cs="Times New Roman"/>
                <w:lang w:val="en-US"/>
              </w:rPr>
              <w:t>C0200/R0110–R</w:t>
            </w:r>
            <w:r w:rsidRPr="00E51406">
              <w:rPr>
                <w:lang w:val="en-US"/>
              </w:rPr>
              <w:t>055</w:t>
            </w:r>
            <w:r w:rsidRPr="00E51406">
              <w:rPr>
                <w:rFonts w:cs="Times New Roman"/>
                <w:lang w:val="en-US"/>
              </w:rPr>
              <w:t>0</w:t>
            </w:r>
          </w:p>
        </w:tc>
        <w:tc>
          <w:tcPr>
            <w:tcW w:w="1701" w:type="dxa"/>
            <w:tcBorders>
              <w:top w:val="single" w:sz="4" w:space="0" w:color="auto"/>
              <w:left w:val="single" w:sz="4" w:space="0" w:color="auto"/>
              <w:bottom w:val="single" w:sz="4" w:space="0" w:color="auto"/>
              <w:right w:val="single" w:sz="4" w:space="0" w:color="auto"/>
            </w:tcBorders>
          </w:tcPr>
          <w:p w:rsidR="00E51406" w:rsidRPr="00E51406" w:rsidRDefault="00E51406" w:rsidP="00F6060B">
            <w:pPr>
              <w:rPr>
                <w:rFonts w:cs="Times New Roman"/>
                <w:lang w:val="en-US"/>
              </w:rPr>
            </w:pPr>
            <w:r w:rsidRPr="00E51406">
              <w:rPr>
                <w:rFonts w:cs="Times New Roman"/>
                <w:lang w:val="en-US"/>
              </w:rPr>
              <w:t>Total</w:t>
            </w:r>
          </w:p>
        </w:tc>
        <w:tc>
          <w:tcPr>
            <w:tcW w:w="5953" w:type="dxa"/>
            <w:tcBorders>
              <w:top w:val="single" w:sz="4" w:space="0" w:color="auto"/>
              <w:left w:val="single" w:sz="4" w:space="0" w:color="auto"/>
              <w:bottom w:val="single" w:sz="4" w:space="0" w:color="auto"/>
              <w:right w:val="single" w:sz="4" w:space="0" w:color="auto"/>
            </w:tcBorders>
          </w:tcPr>
          <w:p w:rsidR="00E51406" w:rsidRPr="00E51406" w:rsidRDefault="00E51406" w:rsidP="00F6060B">
            <w:pPr>
              <w:rPr>
                <w:rFonts w:cs="Times New Roman"/>
                <w:lang w:val="en-US"/>
              </w:rPr>
            </w:pPr>
            <w:r w:rsidRPr="00E51406">
              <w:rPr>
                <w:rFonts w:cs="Times New Roman"/>
                <w:lang w:val="en-US"/>
              </w:rPr>
              <w:t>Total for different items for all Lines of Business.</w:t>
            </w:r>
          </w:p>
        </w:tc>
      </w:tr>
    </w:tbl>
    <w:p w:rsidR="00C241C7" w:rsidRDefault="00C241C7" w:rsidP="00F83588">
      <w:pPr>
        <w:rPr>
          <w:rFonts w:ascii="Times New Roman" w:hAnsi="Times New Roman"/>
          <w:sz w:val="20"/>
          <w:szCs w:val="20"/>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953"/>
      </w:tblGrid>
      <w:tr w:rsidR="00114DBE" w:rsidRPr="00114DBE" w:rsidTr="00F6060B">
        <w:tc>
          <w:tcPr>
            <w:tcW w:w="1526" w:type="dxa"/>
            <w:tcBorders>
              <w:right w:val="single" w:sz="4" w:space="0" w:color="000000"/>
            </w:tcBorders>
          </w:tcPr>
          <w:p w:rsidR="00114DBE" w:rsidRPr="00114DBE" w:rsidRDefault="00114DBE" w:rsidP="00F6060B">
            <w:pPr>
              <w:rPr>
                <w:rFonts w:cs="Times New Roman"/>
                <w:lang w:val="en-US"/>
              </w:rPr>
            </w:pPr>
            <w:r w:rsidRPr="00114DBE">
              <w:rPr>
                <w:rFonts w:cs="Times New Roman"/>
                <w:lang w:val="en-US"/>
              </w:rPr>
              <w:t>C0300/R1410–R1900</w:t>
            </w:r>
          </w:p>
        </w:tc>
        <w:tc>
          <w:tcPr>
            <w:tcW w:w="1701" w:type="dxa"/>
            <w:tcBorders>
              <w:left w:val="single" w:sz="4" w:space="0" w:color="000000"/>
              <w:right w:val="single" w:sz="4" w:space="0" w:color="000000"/>
            </w:tcBorders>
          </w:tcPr>
          <w:p w:rsidR="00114DBE" w:rsidRPr="00114DBE" w:rsidRDefault="00114DBE" w:rsidP="00F6060B">
            <w:pPr>
              <w:rPr>
                <w:rFonts w:cs="Times New Roman"/>
                <w:lang w:val="en-US"/>
              </w:rPr>
            </w:pPr>
            <w:r w:rsidRPr="00114DBE">
              <w:rPr>
                <w:rFonts w:cs="Times New Roman"/>
                <w:lang w:val="en-US"/>
              </w:rPr>
              <w:t>Total</w:t>
            </w:r>
          </w:p>
        </w:tc>
        <w:tc>
          <w:tcPr>
            <w:tcW w:w="5953" w:type="dxa"/>
            <w:tcBorders>
              <w:left w:val="single" w:sz="4" w:space="0" w:color="000000"/>
              <w:right w:val="single" w:sz="4" w:space="0" w:color="000000"/>
            </w:tcBorders>
          </w:tcPr>
          <w:p w:rsidR="00114DBE" w:rsidRPr="00114DBE" w:rsidRDefault="00114DBE" w:rsidP="00F6060B">
            <w:pPr>
              <w:rPr>
                <w:rFonts w:cs="Times New Roman"/>
                <w:lang w:val="en-US"/>
              </w:rPr>
            </w:pPr>
            <w:r w:rsidRPr="00114DBE">
              <w:rPr>
                <w:rFonts w:cs="Times New Roman"/>
                <w:lang w:val="en-US"/>
              </w:rPr>
              <w:t>Total for different items for all life lines of business, as defined in Annex I to Delegated Regulation (EU) 2015/35.</w:t>
            </w:r>
          </w:p>
        </w:tc>
      </w:tr>
    </w:tbl>
    <w:p w:rsidR="00114DBE" w:rsidRDefault="00114DBE" w:rsidP="00F83588">
      <w:pPr>
        <w:rPr>
          <w:rFonts w:ascii="Times New Roman" w:hAnsi="Times New Roman"/>
          <w:sz w:val="20"/>
          <w:szCs w:val="20"/>
          <w:lang w:val="en-US"/>
        </w:rPr>
      </w:pPr>
    </w:p>
    <w:p w:rsidR="00C76E3D" w:rsidRDefault="00C76E3D" w:rsidP="00C76E3D">
      <w:pPr>
        <w:pStyle w:val="Heading2"/>
      </w:pPr>
      <w:r w:rsidRPr="005C59B8">
        <w:t>S.14.01. - Life obligations analysis (Old TP-F3)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2088"/>
        <w:gridCol w:w="5877"/>
      </w:tblGrid>
      <w:tr w:rsidR="00C76E3D" w:rsidRPr="005C59B8" w:rsidTr="00AE70A5">
        <w:trPr>
          <w:trHeight w:val="630"/>
        </w:trPr>
        <w:tc>
          <w:tcPr>
            <w:tcW w:w="1323" w:type="dxa"/>
            <w:hideMark/>
          </w:tcPr>
          <w:p w:rsidR="00C76E3D" w:rsidRPr="005C59B8" w:rsidRDefault="00C76E3D" w:rsidP="006774DE">
            <w:pPr>
              <w:rPr>
                <w:lang w:val="sv-SE" w:eastAsia="sv-SE"/>
              </w:rPr>
            </w:pPr>
            <w:r w:rsidRPr="005C59B8">
              <w:rPr>
                <w:lang w:val="sv-SE" w:eastAsia="sv-SE"/>
              </w:rPr>
              <w:t>C0180</w:t>
            </w:r>
          </w:p>
          <w:p w:rsidR="00C76E3D" w:rsidRPr="005C59B8" w:rsidRDefault="00C76E3D" w:rsidP="006774DE">
            <w:pPr>
              <w:rPr>
                <w:lang w:val="sv-SE" w:eastAsia="sv-SE"/>
              </w:rPr>
            </w:pPr>
          </w:p>
        </w:tc>
        <w:tc>
          <w:tcPr>
            <w:tcW w:w="2088" w:type="dxa"/>
            <w:hideMark/>
          </w:tcPr>
          <w:p w:rsidR="00C76E3D" w:rsidRPr="005C59B8" w:rsidRDefault="00C76E3D" w:rsidP="006774DE">
            <w:pPr>
              <w:rPr>
                <w:lang w:val="sv-SE" w:eastAsia="sv-SE"/>
              </w:rPr>
            </w:pPr>
            <w:r w:rsidRPr="005C59B8">
              <w:rPr>
                <w:lang w:val="sv-SE" w:eastAsia="sv-SE"/>
              </w:rPr>
              <w:t>Best Estimate and Technical Provisions as a whole</w:t>
            </w:r>
          </w:p>
        </w:tc>
        <w:tc>
          <w:tcPr>
            <w:tcW w:w="5877" w:type="dxa"/>
            <w:hideMark/>
          </w:tcPr>
          <w:p w:rsidR="00C76E3D" w:rsidRPr="005C59B8" w:rsidRDefault="00C76E3D" w:rsidP="006774DE">
            <w:pPr>
              <w:rPr>
                <w:lang w:val="en-US" w:eastAsia="sv-SE"/>
              </w:rPr>
            </w:pPr>
            <w:r w:rsidRPr="005C59B8">
              <w:rPr>
                <w:lang w:val="en-US" w:eastAsia="sv-SE"/>
              </w:rPr>
              <w:t>Amount of gross best estimate and Technical Provisions as a whole calculated by Homogenous Risk Group.</w:t>
            </w:r>
          </w:p>
        </w:tc>
      </w:tr>
    </w:tbl>
    <w:p w:rsidR="004961C6" w:rsidRDefault="004961C6" w:rsidP="004961C6"/>
    <w:p w:rsidR="00F83588" w:rsidRPr="00F83588" w:rsidRDefault="00F83588" w:rsidP="00F83588">
      <w:pPr>
        <w:pStyle w:val="Heading2"/>
      </w:pPr>
      <w:r w:rsidRPr="00F83588">
        <w:t xml:space="preserve">S.25.04. - Solvency Capital Requirement </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05"/>
        <w:gridCol w:w="2080"/>
        <w:gridCol w:w="4757"/>
      </w:tblGrid>
      <w:tr w:rsidR="005D0032" w:rsidRPr="005D0032" w:rsidTr="006951ED">
        <w:trPr>
          <w:trHeight w:val="567"/>
        </w:trPr>
        <w:tc>
          <w:tcPr>
            <w:tcW w:w="1805" w:type="dxa"/>
            <w:tcBorders>
              <w:top w:val="single" w:sz="4" w:space="0" w:color="auto"/>
              <w:left w:val="single" w:sz="4" w:space="0" w:color="auto"/>
              <w:bottom w:val="single" w:sz="4" w:space="0" w:color="auto"/>
              <w:right w:val="single" w:sz="4" w:space="0" w:color="auto"/>
            </w:tcBorders>
            <w:shd w:val="clear" w:color="000000" w:fill="FFFFFF"/>
          </w:tcPr>
          <w:p w:rsidR="005D0032" w:rsidRPr="005D0032" w:rsidRDefault="005D0032" w:rsidP="006951ED">
            <w:pPr>
              <w:rPr>
                <w:rFonts w:eastAsia="Times New Roman" w:cs="Times New Roman"/>
                <w:lang w:eastAsia="es-ES"/>
              </w:rPr>
            </w:pPr>
            <w:r w:rsidRPr="005D0032">
              <w:rPr>
                <w:rFonts w:eastAsia="Times New Roman" w:cs="Times New Roman"/>
                <w:lang w:eastAsia="es-ES"/>
              </w:rPr>
              <w:t>C0010/R0020</w:t>
            </w:r>
          </w:p>
          <w:p w:rsidR="005D0032" w:rsidRPr="005D0032" w:rsidDel="002E2864" w:rsidRDefault="005D0032" w:rsidP="006951ED">
            <w:pPr>
              <w:rPr>
                <w:rFonts w:eastAsia="Times New Roman" w:cs="Times New Roman"/>
                <w:lang w:eastAsia="es-ES"/>
              </w:rPr>
            </w:pPr>
          </w:p>
        </w:tc>
        <w:tc>
          <w:tcPr>
            <w:tcW w:w="2080" w:type="dxa"/>
            <w:tcBorders>
              <w:top w:val="single" w:sz="4" w:space="0" w:color="auto"/>
              <w:left w:val="single" w:sz="4" w:space="0" w:color="auto"/>
              <w:bottom w:val="single" w:sz="4" w:space="0" w:color="auto"/>
              <w:right w:val="single" w:sz="4" w:space="0" w:color="auto"/>
            </w:tcBorders>
            <w:shd w:val="clear" w:color="000000" w:fill="FFFFFF"/>
          </w:tcPr>
          <w:p w:rsidR="005D0032" w:rsidRPr="005D0032" w:rsidRDefault="005D0032" w:rsidP="006951ED">
            <w:pPr>
              <w:rPr>
                <w:rFonts w:eastAsia="Times New Roman" w:cs="Times New Roman"/>
                <w:lang w:eastAsia="es-ES"/>
              </w:rPr>
            </w:pPr>
            <w:r w:rsidRPr="005D0032">
              <w:rPr>
                <w:rFonts w:eastAsia="Times New Roman" w:cs="Times New Roman"/>
                <w:lang w:eastAsia="es-ES"/>
              </w:rPr>
              <w:t>Minimum Capital Requirement (S.25.04.11</w:t>
            </w:r>
          </w:p>
        </w:tc>
        <w:tc>
          <w:tcPr>
            <w:tcW w:w="4757" w:type="dxa"/>
            <w:tcBorders>
              <w:top w:val="single" w:sz="4" w:space="0" w:color="auto"/>
              <w:left w:val="single" w:sz="4" w:space="0" w:color="auto"/>
              <w:bottom w:val="single" w:sz="4" w:space="0" w:color="auto"/>
              <w:right w:val="single" w:sz="4" w:space="0" w:color="auto"/>
            </w:tcBorders>
            <w:shd w:val="clear" w:color="000000" w:fill="FFFFFF"/>
          </w:tcPr>
          <w:p w:rsidR="005D0032" w:rsidRPr="005D0032" w:rsidRDefault="005D0032" w:rsidP="006951ED">
            <w:pPr>
              <w:rPr>
                <w:rFonts w:eastAsia="Times New Roman" w:cs="Times New Roman"/>
                <w:lang w:eastAsia="es-ES"/>
              </w:rPr>
            </w:pPr>
            <w:r w:rsidRPr="005D0032">
              <w:rPr>
                <w:rFonts w:eastAsia="Times New Roman" w:cs="Times New Roman"/>
                <w:lang w:eastAsia="es-ES"/>
              </w:rPr>
              <w:t>Amount of the minimum capital requirement calculated in accordance with Delegated Regulation (EU) 2015/35 for individual undertakings.</w:t>
            </w:r>
          </w:p>
        </w:tc>
      </w:tr>
      <w:tr w:rsidR="005D0032" w:rsidRPr="005D0032" w:rsidTr="006951ED">
        <w:trPr>
          <w:trHeight w:val="567"/>
        </w:trPr>
        <w:tc>
          <w:tcPr>
            <w:tcW w:w="1805" w:type="dxa"/>
            <w:tcBorders>
              <w:top w:val="single" w:sz="4" w:space="0" w:color="auto"/>
              <w:left w:val="single" w:sz="4" w:space="0" w:color="auto"/>
              <w:bottom w:val="single" w:sz="4" w:space="0" w:color="auto"/>
              <w:right w:val="single" w:sz="4" w:space="0" w:color="auto"/>
            </w:tcBorders>
            <w:shd w:val="clear" w:color="000000" w:fill="FFFFFF"/>
          </w:tcPr>
          <w:p w:rsidR="005D0032" w:rsidRPr="005D0032" w:rsidRDefault="00A75F68" w:rsidP="006951ED">
            <w:pPr>
              <w:rPr>
                <w:rFonts w:eastAsia="Times New Roman" w:cs="Times New Roman"/>
                <w:lang w:eastAsia="es-ES"/>
              </w:rPr>
            </w:pPr>
            <w:r>
              <w:rPr>
                <w:rFonts w:eastAsia="Times New Roman" w:cs="Times New Roman"/>
                <w:lang w:eastAsia="es-ES"/>
              </w:rPr>
              <w:t>C0010/R003</w:t>
            </w:r>
            <w:r w:rsidR="005D0032" w:rsidRPr="005D0032">
              <w:rPr>
                <w:rFonts w:eastAsia="Times New Roman" w:cs="Times New Roman"/>
                <w:lang w:eastAsia="es-ES"/>
              </w:rPr>
              <w:t>0</w:t>
            </w:r>
          </w:p>
          <w:p w:rsidR="005D0032" w:rsidRPr="005D0032" w:rsidDel="002E2864" w:rsidRDefault="005D0032" w:rsidP="006951ED">
            <w:pPr>
              <w:rPr>
                <w:rFonts w:eastAsia="Times New Roman" w:cs="Times New Roman"/>
                <w:lang w:eastAsia="es-ES"/>
              </w:rPr>
            </w:pPr>
          </w:p>
        </w:tc>
        <w:tc>
          <w:tcPr>
            <w:tcW w:w="2080" w:type="dxa"/>
            <w:tcBorders>
              <w:top w:val="single" w:sz="4" w:space="0" w:color="auto"/>
              <w:left w:val="single" w:sz="4" w:space="0" w:color="auto"/>
              <w:bottom w:val="single" w:sz="4" w:space="0" w:color="auto"/>
              <w:right w:val="single" w:sz="4" w:space="0" w:color="auto"/>
            </w:tcBorders>
            <w:shd w:val="clear" w:color="000000" w:fill="FFFFFF"/>
          </w:tcPr>
          <w:p w:rsidR="005D0032" w:rsidRPr="005D0032" w:rsidRDefault="005D0032" w:rsidP="006951ED">
            <w:pPr>
              <w:rPr>
                <w:rFonts w:eastAsia="Times New Roman" w:cs="Times New Roman"/>
                <w:lang w:eastAsia="es-ES"/>
              </w:rPr>
            </w:pPr>
            <w:r w:rsidRPr="005D0032">
              <w:rPr>
                <w:rFonts w:eastAsia="Times New Roman" w:cs="Times New Roman"/>
                <w:lang w:eastAsia="es-ES"/>
              </w:rPr>
              <w:t>Solvency Capital Requirement Floor (S.25.04.13)</w:t>
            </w:r>
          </w:p>
        </w:tc>
        <w:tc>
          <w:tcPr>
            <w:tcW w:w="4757" w:type="dxa"/>
            <w:tcBorders>
              <w:top w:val="single" w:sz="4" w:space="0" w:color="auto"/>
              <w:left w:val="single" w:sz="4" w:space="0" w:color="auto"/>
              <w:bottom w:val="single" w:sz="4" w:space="0" w:color="auto"/>
              <w:right w:val="single" w:sz="4" w:space="0" w:color="auto"/>
            </w:tcBorders>
            <w:shd w:val="clear" w:color="000000" w:fill="FFFFFF"/>
          </w:tcPr>
          <w:p w:rsidR="005D0032" w:rsidRPr="005D0032" w:rsidRDefault="005D0032" w:rsidP="006951ED">
            <w:pPr>
              <w:rPr>
                <w:rFonts w:eastAsia="Times New Roman" w:cs="Times New Roman"/>
                <w:lang w:eastAsia="es-ES"/>
              </w:rPr>
            </w:pPr>
            <w:r w:rsidRPr="005D0032">
              <w:rPr>
                <w:rFonts w:eastAsia="Times New Roman" w:cs="Times New Roman"/>
                <w:lang w:eastAsia="es-ES"/>
              </w:rPr>
              <w:t xml:space="preserve">Amount of the minimum consolidated group Solvency Capital Requirement as stated in article 230 of Directive 2009/138/EC for groups. </w:t>
            </w:r>
          </w:p>
        </w:tc>
      </w:tr>
    </w:tbl>
    <w:p w:rsidR="00F83588" w:rsidRDefault="00F83588" w:rsidP="004961C6"/>
    <w:p w:rsidR="00F83588" w:rsidRPr="00F83588" w:rsidRDefault="00F83588" w:rsidP="00F83588">
      <w:pPr>
        <w:pStyle w:val="Heading2"/>
      </w:pPr>
      <w:r w:rsidRPr="00F83588">
        <w:t>S.39.01. - Profit and Loss</w:t>
      </w:r>
    </w:p>
    <w:p w:rsidR="00F83588" w:rsidRDefault="00F83588" w:rsidP="00F83588">
      <w:r>
        <w:t xml:space="preserve">The following points were added to the instructions for cell C0010/R0010: </w:t>
      </w:r>
    </w:p>
    <w:p w:rsidR="00F83588" w:rsidRPr="00F83588" w:rsidRDefault="00F83588" w:rsidP="00F83588">
      <w:pPr>
        <w:pStyle w:val="ListParagraph"/>
        <w:numPr>
          <w:ilvl w:val="0"/>
          <w:numId w:val="1"/>
        </w:numPr>
      </w:pPr>
      <w:r w:rsidRPr="00F83588">
        <w:t>Figures reported should be year to date (Q2 data contains P/L covering both Q1 and Q2 and Q4 data covers the full year).</w:t>
      </w:r>
    </w:p>
    <w:p w:rsidR="00663C57" w:rsidRDefault="00F83588" w:rsidP="00F83588">
      <w:pPr>
        <w:pStyle w:val="ListParagraph"/>
        <w:numPr>
          <w:ilvl w:val="0"/>
          <w:numId w:val="1"/>
        </w:numPr>
      </w:pPr>
      <w:r w:rsidRPr="00F83588">
        <w:t>Reporting of data as used in the financial statement is regarded as appropriate under the best effort principle.</w:t>
      </w:r>
    </w:p>
    <w:p w:rsidR="00F83588" w:rsidRDefault="00F83588" w:rsidP="00F83588">
      <w:pPr>
        <w:rPr>
          <w:rFonts w:ascii="Times New Roman" w:hAnsi="Times New Roman" w:cs="Times New Roman"/>
          <w:b/>
          <w:bCs/>
          <w:sz w:val="20"/>
          <w:szCs w:val="20"/>
        </w:rPr>
      </w:pPr>
    </w:p>
    <w:p w:rsidR="00F83588" w:rsidRPr="00F83588" w:rsidRDefault="00F83588" w:rsidP="00F83588">
      <w:pPr>
        <w:pStyle w:val="Heading2"/>
      </w:pPr>
      <w:r w:rsidRPr="00F83588">
        <w:t>S.41.01. - Lapses</w:t>
      </w:r>
    </w:p>
    <w:p w:rsidR="00F83588" w:rsidRDefault="00F83588" w:rsidP="00F83588">
      <w:r>
        <w:t>Instructions have been updated to reflect answers in the EIOPA Q&amp;A on Regulation:</w:t>
      </w:r>
    </w:p>
    <w:tbl>
      <w:tblPr>
        <w:tblStyle w:val="TableGrid"/>
        <w:tblW w:w="0" w:type="auto"/>
        <w:tblLook w:val="04A0" w:firstRow="1" w:lastRow="0" w:firstColumn="1" w:lastColumn="0" w:noHBand="0" w:noVBand="1"/>
      </w:tblPr>
      <w:tblGrid>
        <w:gridCol w:w="1742"/>
        <w:gridCol w:w="2834"/>
        <w:gridCol w:w="4978"/>
      </w:tblGrid>
      <w:tr w:rsidR="00F83588" w:rsidRPr="00F83588" w:rsidTr="00395F84">
        <w:trPr>
          <w:trHeight w:val="285"/>
        </w:trPr>
        <w:tc>
          <w:tcPr>
            <w:tcW w:w="1430" w:type="dxa"/>
            <w:noWrap/>
            <w:hideMark/>
          </w:tcPr>
          <w:p w:rsidR="00F83588" w:rsidRPr="00F83588" w:rsidRDefault="00F83588" w:rsidP="00395F84">
            <w:pPr>
              <w:jc w:val="center"/>
              <w:rPr>
                <w:rFonts w:cs="Times New Roman"/>
              </w:rPr>
            </w:pPr>
          </w:p>
        </w:tc>
        <w:tc>
          <w:tcPr>
            <w:tcW w:w="2834" w:type="dxa"/>
            <w:hideMark/>
          </w:tcPr>
          <w:p w:rsidR="00F83588" w:rsidRPr="00F83588" w:rsidRDefault="00F83588" w:rsidP="00395F84">
            <w:pPr>
              <w:jc w:val="center"/>
              <w:rPr>
                <w:rFonts w:cs="Times New Roman"/>
                <w:b/>
                <w:bCs/>
              </w:rPr>
            </w:pPr>
            <w:r w:rsidRPr="00F83588">
              <w:rPr>
                <w:rFonts w:cs="Times New Roman"/>
                <w:b/>
                <w:bCs/>
              </w:rPr>
              <w:t>ITEM</w:t>
            </w:r>
          </w:p>
        </w:tc>
        <w:tc>
          <w:tcPr>
            <w:tcW w:w="4978" w:type="dxa"/>
            <w:hideMark/>
          </w:tcPr>
          <w:p w:rsidR="00F83588" w:rsidRPr="00F83588" w:rsidRDefault="00F83588" w:rsidP="00395F84">
            <w:pPr>
              <w:jc w:val="center"/>
              <w:rPr>
                <w:rFonts w:cs="Times New Roman"/>
                <w:b/>
                <w:bCs/>
              </w:rPr>
            </w:pPr>
            <w:r w:rsidRPr="00F83588">
              <w:rPr>
                <w:rFonts w:cs="Times New Roman"/>
                <w:b/>
                <w:bCs/>
              </w:rPr>
              <w:t>INSTRUCTIONS</w:t>
            </w:r>
          </w:p>
        </w:tc>
      </w:tr>
      <w:tr w:rsidR="00F83588" w:rsidRPr="00F83588" w:rsidTr="00395F84">
        <w:trPr>
          <w:trHeight w:val="285"/>
        </w:trPr>
        <w:tc>
          <w:tcPr>
            <w:tcW w:w="1430" w:type="dxa"/>
            <w:hideMark/>
          </w:tcPr>
          <w:p w:rsidR="00F83588" w:rsidRPr="00F83588" w:rsidRDefault="00F83588" w:rsidP="00395F84">
            <w:pPr>
              <w:rPr>
                <w:rFonts w:cs="Times New Roman"/>
              </w:rPr>
            </w:pPr>
            <w:r w:rsidRPr="00F83588">
              <w:rPr>
                <w:rFonts w:cs="Times New Roman"/>
              </w:rPr>
              <w:t>C0010/R0010</w:t>
            </w:r>
          </w:p>
        </w:tc>
        <w:tc>
          <w:tcPr>
            <w:tcW w:w="2834" w:type="dxa"/>
            <w:noWrap/>
          </w:tcPr>
          <w:p w:rsidR="00F83588" w:rsidRPr="00F83588" w:rsidRDefault="00F83588" w:rsidP="00395F84">
            <w:pPr>
              <w:rPr>
                <w:rFonts w:cs="Times New Roman"/>
              </w:rPr>
            </w:pPr>
            <w:r w:rsidRPr="00F83588">
              <w:rPr>
                <w:rFonts w:cs="Times New Roman"/>
              </w:rPr>
              <w:t>Lapse/surrender rate contracts</w:t>
            </w:r>
          </w:p>
        </w:tc>
        <w:tc>
          <w:tcPr>
            <w:tcW w:w="4978" w:type="dxa"/>
          </w:tcPr>
          <w:p w:rsidR="00F83588" w:rsidRPr="00F83588" w:rsidRDefault="00F83588" w:rsidP="00395F84">
            <w:pPr>
              <w:rPr>
                <w:rFonts w:cs="Times New Roman"/>
              </w:rPr>
            </w:pPr>
            <w:r w:rsidRPr="00F83588">
              <w:rPr>
                <w:rFonts w:cs="Times New Roman"/>
              </w:rPr>
              <w:t>Number of life (excl. health) contracts (policies, not IFRS 4 contracts, direct business only) fully or partially lapsed or surrendered during the reporting period divided by the number of life contracts at the beginning of the period. The reporting period is defined on a year to date basis. Unit linked contracts should not be considered. However, unitised with-profits which contain elements of guarantees or where the full risk of price changes in the underlying portfolio is not born by policy holders should not be excluded.</w:t>
            </w:r>
          </w:p>
          <w:p w:rsidR="00F83588" w:rsidRPr="00F83588" w:rsidRDefault="00F83588" w:rsidP="00395F84">
            <w:pPr>
              <w:rPr>
                <w:rFonts w:cs="Times New Roman"/>
              </w:rPr>
            </w:pPr>
          </w:p>
          <w:p w:rsidR="00F83588" w:rsidRPr="00F83588" w:rsidRDefault="00F83588" w:rsidP="00395F84">
            <w:pPr>
              <w:rPr>
                <w:rFonts w:cs="Times New Roman"/>
              </w:rPr>
            </w:pPr>
            <w:r w:rsidRPr="00F83588">
              <w:rPr>
                <w:rFonts w:cs="Times New Roman"/>
              </w:rPr>
              <w:t xml:space="preserve">A partial surrender is considered </w:t>
            </w:r>
            <w:proofErr w:type="gramStart"/>
            <w:r w:rsidRPr="00F83588">
              <w:rPr>
                <w:rFonts w:cs="Times New Roman"/>
              </w:rPr>
              <w:t>one surrender</w:t>
            </w:r>
            <w:proofErr w:type="gramEnd"/>
            <w:r w:rsidRPr="00F83588">
              <w:rPr>
                <w:rFonts w:cs="Times New Roman"/>
              </w:rPr>
              <w:t xml:space="preserve">. Policies that are premium paying at the start of the reporting period </w:t>
            </w:r>
            <w:r w:rsidRPr="00F83588">
              <w:rPr>
                <w:rFonts w:cs="Times New Roman"/>
              </w:rPr>
              <w:lastRenderedPageBreak/>
              <w:t xml:space="preserve">and which become paid up during the reporting period should be included in the calculation. </w:t>
            </w:r>
          </w:p>
          <w:p w:rsidR="00F83588" w:rsidRPr="00F83588" w:rsidRDefault="00F83588" w:rsidP="00395F84">
            <w:pPr>
              <w:rPr>
                <w:rFonts w:cs="Times New Roman"/>
              </w:rPr>
            </w:pPr>
          </w:p>
          <w:p w:rsidR="00F83588" w:rsidRPr="00F83588" w:rsidRDefault="00F83588" w:rsidP="00395F84">
            <w:pPr>
              <w:rPr>
                <w:rFonts w:cs="Times New Roman"/>
              </w:rPr>
            </w:pPr>
            <w:r w:rsidRPr="00F83588">
              <w:rPr>
                <w:rFonts w:cs="Times New Roman"/>
              </w:rPr>
              <w:t>The indicator should reflect all life business. Annuity business should therefore be included within the denominator even if they cannot lapse.</w:t>
            </w:r>
          </w:p>
        </w:tc>
      </w:tr>
      <w:tr w:rsidR="00F83588" w:rsidRPr="00F83588" w:rsidTr="00395F84">
        <w:trPr>
          <w:trHeight w:val="285"/>
        </w:trPr>
        <w:tc>
          <w:tcPr>
            <w:tcW w:w="1430" w:type="dxa"/>
          </w:tcPr>
          <w:p w:rsidR="00F83588" w:rsidRPr="00F83588" w:rsidRDefault="00F83588" w:rsidP="00395F84">
            <w:pPr>
              <w:rPr>
                <w:rFonts w:cs="Times New Roman"/>
              </w:rPr>
            </w:pPr>
            <w:r w:rsidRPr="00F83588">
              <w:rPr>
                <w:rFonts w:cs="Times New Roman"/>
              </w:rPr>
              <w:lastRenderedPageBreak/>
              <w:t>C0010/R0020</w:t>
            </w:r>
          </w:p>
        </w:tc>
        <w:tc>
          <w:tcPr>
            <w:tcW w:w="2834" w:type="dxa"/>
            <w:noWrap/>
          </w:tcPr>
          <w:p w:rsidR="00F83588" w:rsidRPr="00F83588" w:rsidRDefault="00F83588" w:rsidP="00395F84">
            <w:pPr>
              <w:rPr>
                <w:rFonts w:cs="Times New Roman"/>
              </w:rPr>
            </w:pPr>
            <w:r w:rsidRPr="00F83588">
              <w:rPr>
                <w:rFonts w:cs="Times New Roman"/>
              </w:rPr>
              <w:t>Lapse/surrender rate volume</w:t>
            </w:r>
          </w:p>
        </w:tc>
        <w:tc>
          <w:tcPr>
            <w:tcW w:w="4978" w:type="dxa"/>
          </w:tcPr>
          <w:p w:rsidR="00F83588" w:rsidRPr="00F83588" w:rsidRDefault="00F83588" w:rsidP="00395F84">
            <w:pPr>
              <w:rPr>
                <w:rFonts w:cs="Times New Roman"/>
              </w:rPr>
            </w:pPr>
            <w:r w:rsidRPr="00F83588">
              <w:rPr>
                <w:rFonts w:cs="Times New Roman"/>
                <w:lang w:val="en-US"/>
              </w:rPr>
              <w:t xml:space="preserve">Volume (the amount of technical provisions according to the Solvency II balance sheet) of life (excl. health) contracts (direct business only) </w:t>
            </w:r>
            <w:r w:rsidRPr="00F83588">
              <w:rPr>
                <w:rFonts w:cs="Times New Roman"/>
              </w:rPr>
              <w:t xml:space="preserve">fully or partially </w:t>
            </w:r>
            <w:r w:rsidRPr="00F83588">
              <w:rPr>
                <w:rFonts w:cs="Times New Roman"/>
                <w:lang w:val="en-US"/>
              </w:rPr>
              <w:t xml:space="preserve">lapsed or surrendered during the reporting period divided by the volume (the amount of technical provisions) of life contracts at the beginning of the period. </w:t>
            </w:r>
            <w:r w:rsidRPr="00F83588">
              <w:rPr>
                <w:rFonts w:cs="Times New Roman"/>
              </w:rPr>
              <w:t xml:space="preserve">The reporting period is defined on a year to date basis. Unit linked contracts should not be considered. </w:t>
            </w:r>
            <w:r w:rsidRPr="00F83588">
              <w:rPr>
                <w:rFonts w:cs="Times New Roman"/>
              </w:rPr>
              <w:tab/>
              <w:t>However, unitised with-profits which contain elements of guarantees or where the full risk of price changes in the underlying portfolio is not born by policy holders should not be excluded.</w:t>
            </w:r>
          </w:p>
          <w:p w:rsidR="00F83588" w:rsidRPr="00F83588" w:rsidRDefault="00F83588" w:rsidP="00395F84">
            <w:pPr>
              <w:rPr>
                <w:rFonts w:cs="Times New Roman"/>
              </w:rPr>
            </w:pPr>
          </w:p>
          <w:p w:rsidR="00F83588" w:rsidRPr="00F83588" w:rsidRDefault="00F83588" w:rsidP="00395F84">
            <w:pPr>
              <w:rPr>
                <w:rFonts w:cs="Times New Roman"/>
              </w:rPr>
            </w:pPr>
            <w:r w:rsidRPr="00F83588">
              <w:rPr>
                <w:rFonts w:cs="Times New Roman"/>
              </w:rPr>
              <w:t>Where material and affecting technical provisions, deferred payments should be included in the calculation. Policies that are premium paying at the start of the reporting period and which become paid up during the reporting period should be included in the calculation.</w:t>
            </w:r>
          </w:p>
          <w:p w:rsidR="00F83588" w:rsidRPr="00F83588" w:rsidRDefault="00F83588" w:rsidP="00395F84">
            <w:pPr>
              <w:rPr>
                <w:rFonts w:cs="Times New Roman"/>
              </w:rPr>
            </w:pPr>
          </w:p>
          <w:p w:rsidR="00F83588" w:rsidRPr="00F83588" w:rsidRDefault="00F83588" w:rsidP="00395F84">
            <w:pPr>
              <w:rPr>
                <w:rFonts w:cs="Times New Roman"/>
                <w:lang w:val="en-US"/>
              </w:rPr>
            </w:pPr>
            <w:r w:rsidRPr="00F83588">
              <w:rPr>
                <w:rFonts w:cs="Times New Roman"/>
                <w:lang w:val="en-US"/>
              </w:rPr>
              <w:t>The indicator should reflect all life business. Annuity business should therefore be included within the denominator even if they cannot lapse.</w:t>
            </w:r>
          </w:p>
        </w:tc>
      </w:tr>
    </w:tbl>
    <w:p w:rsidR="00F83588" w:rsidRDefault="00F83588" w:rsidP="00F83588"/>
    <w:sectPr w:rsidR="00F83588" w:rsidSect="00430C7A">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357"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1C6" w:rsidRDefault="004961C6" w:rsidP="004961C6">
      <w:pPr>
        <w:spacing w:before="0"/>
      </w:pPr>
      <w:r>
        <w:separator/>
      </w:r>
    </w:p>
  </w:endnote>
  <w:endnote w:type="continuationSeparator" w:id="0">
    <w:p w:rsidR="004961C6" w:rsidRDefault="004961C6" w:rsidP="004961C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9C2" w:rsidRDefault="008549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54B" w:rsidRDefault="00F64F22" w:rsidP="009B01A3">
    <w:pPr>
      <w:pStyle w:val="Footer"/>
      <w:jc w:val="right"/>
      <w:rPr>
        <w:rFonts w:cs="Verdana"/>
        <w:sz w:val="16"/>
        <w:szCs w:val="16"/>
      </w:rPr>
    </w:pPr>
  </w:p>
  <w:p w:rsidR="00EF254B" w:rsidRDefault="00F64F22" w:rsidP="009B01A3">
    <w:pPr>
      <w:pStyle w:val="Footer"/>
      <w:jc w:val="right"/>
      <w:rPr>
        <w:rFonts w:cs="Verdana"/>
        <w:sz w:val="16"/>
        <w:szCs w:val="16"/>
      </w:rPr>
    </w:pPr>
  </w:p>
  <w:p w:rsidR="009B01A3" w:rsidRPr="002238D4" w:rsidRDefault="008549C2" w:rsidP="002238D4">
    <w:pPr>
      <w:pStyle w:val="Footer"/>
    </w:pPr>
    <w:r w:rsidRPr="002238D4">
      <w:fldChar w:fldCharType="begin"/>
    </w:r>
    <w:r w:rsidRPr="002238D4">
      <w:instrText xml:space="preserve"> PAGE  \* Arabic  \* MERGEFORMAT </w:instrText>
    </w:r>
    <w:r w:rsidRPr="002238D4">
      <w:fldChar w:fldCharType="separate"/>
    </w:r>
    <w:r w:rsidR="00F64F22">
      <w:rPr>
        <w:noProof/>
      </w:rPr>
      <w:t>4</w:t>
    </w:r>
    <w:r w:rsidRPr="002238D4">
      <w:fldChar w:fldCharType="end"/>
    </w:r>
    <w:r w:rsidRPr="002238D4">
      <w:t>/</w:t>
    </w:r>
    <w:fldSimple w:instr=" NUMPAGES   \* MERGEFORMAT ">
      <w:r w:rsidR="00F64F22">
        <w:rPr>
          <w:noProof/>
        </w:rPr>
        <w:t>4</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1A3" w:rsidRPr="00AC2144" w:rsidRDefault="008549C2" w:rsidP="00AC2144">
    <w:pPr>
      <w:pStyle w:val="Footer"/>
    </w:pPr>
    <w:r w:rsidRPr="00E160C7">
      <w:rPr>
        <w:lang w:val="de-DE"/>
      </w:rPr>
      <w:t xml:space="preserve">EIOPA – Westhafen Tower, Westhafenplatz 1 - 60327 Frankfurt – Germany - Tel. </w:t>
    </w:r>
    <w:r w:rsidRPr="00AC2144">
      <w:t>+ 49 69-951119-20;</w:t>
    </w:r>
  </w:p>
  <w:p w:rsidR="009B01A3" w:rsidRPr="00AC2144" w:rsidRDefault="008549C2" w:rsidP="00AC2144">
    <w:pPr>
      <w:pStyle w:val="Footer"/>
    </w:pPr>
    <w:r w:rsidRPr="00AC2144">
      <w:t xml:space="preserve">Fax. + 49 69-951119-19; email: </w:t>
    </w:r>
    <w:hyperlink r:id="rId1" w:history="1">
      <w:r w:rsidRPr="00AC2144">
        <w:rPr>
          <w:rStyle w:val="Hyperlink"/>
        </w:rPr>
        <w:t>info@eiopa.europa.eu</w:t>
      </w:r>
    </w:hyperlink>
    <w:r w:rsidRPr="00AC2144">
      <w:t xml:space="preserve"> site: </w:t>
    </w:r>
    <w:hyperlink r:id="rId2" w:history="1">
      <w:r>
        <w:rPr>
          <w:rStyle w:val="Hyperlink"/>
        </w:rPr>
        <w:t>https://eiopa.europa.eu/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1C6" w:rsidRDefault="004961C6" w:rsidP="004961C6">
      <w:pPr>
        <w:spacing w:before="0"/>
      </w:pPr>
      <w:r>
        <w:separator/>
      </w:r>
    </w:p>
  </w:footnote>
  <w:footnote w:type="continuationSeparator" w:id="0">
    <w:p w:rsidR="004961C6" w:rsidRDefault="004961C6" w:rsidP="004961C6">
      <w:pPr>
        <w:spacing w:before="0"/>
      </w:pPr>
      <w:r>
        <w:continuationSeparator/>
      </w:r>
    </w:p>
  </w:footnote>
  <w:footnote w:id="1">
    <w:p w:rsidR="004961C6" w:rsidRDefault="004961C6" w:rsidP="004961C6">
      <w:pPr>
        <w:pStyle w:val="FootnoteText"/>
      </w:pPr>
      <w:r>
        <w:rPr>
          <w:rStyle w:val="FootnoteReference"/>
        </w:rPr>
        <w:footnoteRef/>
      </w:r>
      <w:r>
        <w:t xml:space="preserve"> </w:t>
      </w:r>
      <w:r w:rsidRPr="003B268A">
        <w:t>https://eiopa.europa.eu/regulation-supervision/insurance/reporting-format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9C2" w:rsidRDefault="008549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9C2" w:rsidRDefault="008549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9C2" w:rsidRDefault="008549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C6662"/>
    <w:multiLevelType w:val="hybridMultilevel"/>
    <w:tmpl w:val="F6A81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1C6"/>
    <w:rsid w:val="0005625C"/>
    <w:rsid w:val="000671DF"/>
    <w:rsid w:val="00114DBE"/>
    <w:rsid w:val="001A43A5"/>
    <w:rsid w:val="00212C10"/>
    <w:rsid w:val="00214D1A"/>
    <w:rsid w:val="00286D48"/>
    <w:rsid w:val="002C5F5D"/>
    <w:rsid w:val="00423909"/>
    <w:rsid w:val="004961C6"/>
    <w:rsid w:val="005D0032"/>
    <w:rsid w:val="00663C57"/>
    <w:rsid w:val="006F0236"/>
    <w:rsid w:val="008549C2"/>
    <w:rsid w:val="008D53F9"/>
    <w:rsid w:val="00987D38"/>
    <w:rsid w:val="00A75F68"/>
    <w:rsid w:val="00AE70A5"/>
    <w:rsid w:val="00B35052"/>
    <w:rsid w:val="00BF2E32"/>
    <w:rsid w:val="00C241C7"/>
    <w:rsid w:val="00C252D9"/>
    <w:rsid w:val="00C76E3D"/>
    <w:rsid w:val="00E51406"/>
    <w:rsid w:val="00F64F22"/>
    <w:rsid w:val="00F83588"/>
    <w:rsid w:val="00FC29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4961C6"/>
    <w:pPr>
      <w:spacing w:before="120" w:after="0" w:line="240" w:lineRule="auto"/>
      <w:jc w:val="both"/>
    </w:pPr>
    <w:rPr>
      <w:rFonts w:ascii="Verdana" w:hAnsi="Verdana"/>
    </w:rPr>
  </w:style>
  <w:style w:type="paragraph" w:styleId="Heading1">
    <w:name w:val="heading 1"/>
    <w:basedOn w:val="Normal"/>
    <w:link w:val="Heading1Char"/>
    <w:uiPriority w:val="9"/>
    <w:qFormat/>
    <w:rsid w:val="004961C6"/>
    <w:pPr>
      <w:keepNext/>
      <w:keepLines/>
      <w:spacing w:before="240" w:after="60"/>
      <w:outlineLvl w:val="0"/>
    </w:pPr>
    <w:rPr>
      <w:rFonts w:eastAsiaTheme="majorEastAsia" w:cstheme="majorBidi"/>
      <w:b/>
      <w:bCs/>
      <w:sz w:val="28"/>
      <w:szCs w:val="28"/>
    </w:rPr>
  </w:style>
  <w:style w:type="paragraph" w:styleId="Heading2">
    <w:name w:val="heading 2"/>
    <w:basedOn w:val="Normal"/>
    <w:link w:val="Heading2Char"/>
    <w:uiPriority w:val="9"/>
    <w:unhideWhenUsed/>
    <w:qFormat/>
    <w:rsid w:val="004961C6"/>
    <w:pPr>
      <w:keepNext/>
      <w:keepLines/>
      <w:spacing w:before="240" w:after="6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61C6"/>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4961C6"/>
    <w:rPr>
      <w:rFonts w:ascii="Verdana" w:eastAsiaTheme="majorEastAsia" w:hAnsi="Verdana" w:cstheme="majorBidi"/>
      <w:b/>
      <w:bCs/>
      <w:sz w:val="24"/>
      <w:szCs w:val="26"/>
    </w:rPr>
  </w:style>
  <w:style w:type="paragraph" w:styleId="Footer">
    <w:name w:val="footer"/>
    <w:basedOn w:val="Normal"/>
    <w:link w:val="FooterChar"/>
    <w:uiPriority w:val="99"/>
    <w:unhideWhenUsed/>
    <w:qFormat/>
    <w:rsid w:val="004961C6"/>
    <w:pPr>
      <w:tabs>
        <w:tab w:val="center" w:pos="4513"/>
        <w:tab w:val="right" w:pos="9026"/>
      </w:tabs>
      <w:spacing w:before="0"/>
      <w:jc w:val="center"/>
    </w:pPr>
    <w:rPr>
      <w:sz w:val="18"/>
    </w:rPr>
  </w:style>
  <w:style w:type="character" w:customStyle="1" w:styleId="FooterChar">
    <w:name w:val="Footer Char"/>
    <w:basedOn w:val="DefaultParagraphFont"/>
    <w:link w:val="Footer"/>
    <w:uiPriority w:val="99"/>
    <w:rsid w:val="004961C6"/>
    <w:rPr>
      <w:rFonts w:ascii="Verdana" w:hAnsi="Verdana"/>
      <w:sz w:val="18"/>
    </w:rPr>
  </w:style>
  <w:style w:type="character" w:styleId="Hyperlink">
    <w:name w:val="Hyperlink"/>
    <w:basedOn w:val="DefaultParagraphFont"/>
    <w:uiPriority w:val="99"/>
    <w:unhideWhenUsed/>
    <w:rsid w:val="004961C6"/>
    <w:rPr>
      <w:color w:val="0000FF" w:themeColor="hyperlink"/>
      <w:u w:val="single"/>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
    <w:basedOn w:val="Normal"/>
    <w:link w:val="FootnoteTextChar"/>
    <w:unhideWhenUsed/>
    <w:qFormat/>
    <w:rsid w:val="004961C6"/>
    <w:pPr>
      <w:spacing w:before="0"/>
    </w:pPr>
    <w:rPr>
      <w:sz w:val="16"/>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
    <w:basedOn w:val="DefaultParagraphFont"/>
    <w:link w:val="FootnoteText"/>
    <w:rsid w:val="004961C6"/>
    <w:rPr>
      <w:rFonts w:ascii="Verdana" w:hAnsi="Verdana"/>
      <w:sz w:val="16"/>
      <w:szCs w:val="20"/>
    </w:rPr>
  </w:style>
  <w:style w:type="character" w:styleId="FootnoteReference">
    <w:name w:val="footnote reference"/>
    <w:aliases w:val="Verdana 11p Regular,hochgestellt"/>
    <w:basedOn w:val="DefaultParagraphFont"/>
    <w:uiPriority w:val="99"/>
    <w:unhideWhenUsed/>
    <w:rsid w:val="004961C6"/>
    <w:rPr>
      <w:rFonts w:ascii="Verdana" w:hAnsi="Verdana"/>
      <w:sz w:val="22"/>
      <w:vertAlign w:val="superscript"/>
    </w:rPr>
  </w:style>
  <w:style w:type="character" w:styleId="PlaceholderText">
    <w:name w:val="Placeholder Text"/>
    <w:basedOn w:val="DefaultParagraphFont"/>
    <w:uiPriority w:val="99"/>
    <w:semiHidden/>
    <w:rsid w:val="004961C6"/>
    <w:rPr>
      <w:color w:val="808080"/>
    </w:rPr>
  </w:style>
  <w:style w:type="paragraph" w:styleId="Title">
    <w:name w:val="Title"/>
    <w:aliases w:val="Document Title"/>
    <w:basedOn w:val="Normal"/>
    <w:next w:val="Normal"/>
    <w:link w:val="TitleChar"/>
    <w:uiPriority w:val="10"/>
    <w:qFormat/>
    <w:rsid w:val="004961C6"/>
    <w:pPr>
      <w:shd w:val="clear" w:color="auto" w:fill="D0E7F6"/>
      <w:spacing w:before="240" w:after="240"/>
      <w:jc w:val="center"/>
    </w:pPr>
    <w:rPr>
      <w:rFonts w:eastAsiaTheme="majorEastAsia" w:cstheme="majorBidi"/>
      <w:b/>
      <w:spacing w:val="5"/>
      <w:kern w:val="28"/>
      <w:sz w:val="40"/>
      <w:szCs w:val="52"/>
    </w:rPr>
  </w:style>
  <w:style w:type="character" w:customStyle="1" w:styleId="TitleChar">
    <w:name w:val="Title Char"/>
    <w:aliases w:val="Document Title Char"/>
    <w:basedOn w:val="DefaultParagraphFont"/>
    <w:link w:val="Title"/>
    <w:uiPriority w:val="10"/>
    <w:rsid w:val="004961C6"/>
    <w:rPr>
      <w:rFonts w:ascii="Verdana" w:eastAsiaTheme="majorEastAsia" w:hAnsi="Verdana" w:cstheme="majorBidi"/>
      <w:b/>
      <w:spacing w:val="5"/>
      <w:kern w:val="28"/>
      <w:sz w:val="40"/>
      <w:szCs w:val="52"/>
      <w:shd w:val="clear" w:color="auto" w:fill="D0E7F6"/>
    </w:rPr>
  </w:style>
  <w:style w:type="paragraph" w:customStyle="1" w:styleId="ReferenceNumber">
    <w:name w:val="Reference Number"/>
    <w:basedOn w:val="Normal"/>
    <w:qFormat/>
    <w:rsid w:val="004961C6"/>
    <w:pPr>
      <w:tabs>
        <w:tab w:val="left" w:pos="1480"/>
      </w:tabs>
      <w:spacing w:before="0"/>
      <w:jc w:val="right"/>
    </w:pPr>
    <w:rPr>
      <w:sz w:val="20"/>
      <w:szCs w:val="20"/>
    </w:rPr>
  </w:style>
  <w:style w:type="character" w:customStyle="1" w:styleId="Bold">
    <w:name w:val="Bold"/>
    <w:basedOn w:val="DefaultParagraphFont"/>
    <w:uiPriority w:val="1"/>
    <w:qFormat/>
    <w:rsid w:val="004961C6"/>
    <w:rPr>
      <w:b/>
    </w:rPr>
  </w:style>
  <w:style w:type="character" w:customStyle="1" w:styleId="Regular">
    <w:name w:val="Regular"/>
    <w:basedOn w:val="DefaultParagraphFont"/>
    <w:uiPriority w:val="1"/>
    <w:qFormat/>
    <w:rsid w:val="004961C6"/>
  </w:style>
  <w:style w:type="paragraph" w:styleId="BalloonText">
    <w:name w:val="Balloon Text"/>
    <w:basedOn w:val="Normal"/>
    <w:link w:val="BalloonTextChar"/>
    <w:uiPriority w:val="99"/>
    <w:semiHidden/>
    <w:unhideWhenUsed/>
    <w:rsid w:val="004961C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1C6"/>
    <w:rPr>
      <w:rFonts w:ascii="Tahoma" w:hAnsi="Tahoma" w:cs="Tahoma"/>
      <w:sz w:val="16"/>
      <w:szCs w:val="16"/>
    </w:rPr>
  </w:style>
  <w:style w:type="paragraph" w:styleId="ListParagraph">
    <w:name w:val="List Paragraph"/>
    <w:basedOn w:val="Normal"/>
    <w:uiPriority w:val="34"/>
    <w:qFormat/>
    <w:rsid w:val="00F83588"/>
    <w:pPr>
      <w:ind w:left="720"/>
      <w:contextualSpacing/>
    </w:pPr>
  </w:style>
  <w:style w:type="table" w:styleId="TableGrid">
    <w:name w:val="Table Grid"/>
    <w:basedOn w:val="TableNormal"/>
    <w:uiPriority w:val="59"/>
    <w:rsid w:val="00F83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49C2"/>
    <w:pPr>
      <w:tabs>
        <w:tab w:val="center" w:pos="4513"/>
        <w:tab w:val="right" w:pos="9026"/>
      </w:tabs>
      <w:spacing w:before="0"/>
    </w:pPr>
  </w:style>
  <w:style w:type="character" w:customStyle="1" w:styleId="HeaderChar">
    <w:name w:val="Header Char"/>
    <w:basedOn w:val="DefaultParagraphFont"/>
    <w:link w:val="Header"/>
    <w:uiPriority w:val="99"/>
    <w:rsid w:val="008549C2"/>
    <w:rPr>
      <w:rFonts w:ascii="Verdana" w:hAnsi="Verdana"/>
    </w:rPr>
  </w:style>
  <w:style w:type="character" w:styleId="CommentReference">
    <w:name w:val="annotation reference"/>
    <w:basedOn w:val="DefaultParagraphFont"/>
    <w:uiPriority w:val="99"/>
    <w:semiHidden/>
    <w:unhideWhenUsed/>
    <w:rsid w:val="008D53F9"/>
    <w:rPr>
      <w:sz w:val="16"/>
      <w:szCs w:val="16"/>
    </w:rPr>
  </w:style>
  <w:style w:type="paragraph" w:styleId="CommentText">
    <w:name w:val="annotation text"/>
    <w:basedOn w:val="Normal"/>
    <w:link w:val="CommentTextChar"/>
    <w:uiPriority w:val="99"/>
    <w:semiHidden/>
    <w:unhideWhenUsed/>
    <w:rsid w:val="008D53F9"/>
    <w:rPr>
      <w:sz w:val="20"/>
      <w:szCs w:val="20"/>
    </w:rPr>
  </w:style>
  <w:style w:type="character" w:customStyle="1" w:styleId="CommentTextChar">
    <w:name w:val="Comment Text Char"/>
    <w:basedOn w:val="DefaultParagraphFont"/>
    <w:link w:val="CommentText"/>
    <w:uiPriority w:val="99"/>
    <w:semiHidden/>
    <w:rsid w:val="008D53F9"/>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D53F9"/>
    <w:rPr>
      <w:b/>
      <w:bCs/>
    </w:rPr>
  </w:style>
  <w:style w:type="character" w:customStyle="1" w:styleId="CommentSubjectChar">
    <w:name w:val="Comment Subject Char"/>
    <w:basedOn w:val="CommentTextChar"/>
    <w:link w:val="CommentSubject"/>
    <w:uiPriority w:val="99"/>
    <w:semiHidden/>
    <w:rsid w:val="008D53F9"/>
    <w:rPr>
      <w:rFonts w:ascii="Verdana" w:hAnsi="Verdan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4961C6"/>
    <w:pPr>
      <w:spacing w:before="120" w:after="0" w:line="240" w:lineRule="auto"/>
      <w:jc w:val="both"/>
    </w:pPr>
    <w:rPr>
      <w:rFonts w:ascii="Verdana" w:hAnsi="Verdana"/>
    </w:rPr>
  </w:style>
  <w:style w:type="paragraph" w:styleId="Heading1">
    <w:name w:val="heading 1"/>
    <w:basedOn w:val="Normal"/>
    <w:link w:val="Heading1Char"/>
    <w:uiPriority w:val="9"/>
    <w:qFormat/>
    <w:rsid w:val="004961C6"/>
    <w:pPr>
      <w:keepNext/>
      <w:keepLines/>
      <w:spacing w:before="240" w:after="60"/>
      <w:outlineLvl w:val="0"/>
    </w:pPr>
    <w:rPr>
      <w:rFonts w:eastAsiaTheme="majorEastAsia" w:cstheme="majorBidi"/>
      <w:b/>
      <w:bCs/>
      <w:sz w:val="28"/>
      <w:szCs w:val="28"/>
    </w:rPr>
  </w:style>
  <w:style w:type="paragraph" w:styleId="Heading2">
    <w:name w:val="heading 2"/>
    <w:basedOn w:val="Normal"/>
    <w:link w:val="Heading2Char"/>
    <w:uiPriority w:val="9"/>
    <w:unhideWhenUsed/>
    <w:qFormat/>
    <w:rsid w:val="004961C6"/>
    <w:pPr>
      <w:keepNext/>
      <w:keepLines/>
      <w:spacing w:before="240" w:after="6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61C6"/>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4961C6"/>
    <w:rPr>
      <w:rFonts w:ascii="Verdana" w:eastAsiaTheme="majorEastAsia" w:hAnsi="Verdana" w:cstheme="majorBidi"/>
      <w:b/>
      <w:bCs/>
      <w:sz w:val="24"/>
      <w:szCs w:val="26"/>
    </w:rPr>
  </w:style>
  <w:style w:type="paragraph" w:styleId="Footer">
    <w:name w:val="footer"/>
    <w:basedOn w:val="Normal"/>
    <w:link w:val="FooterChar"/>
    <w:uiPriority w:val="99"/>
    <w:unhideWhenUsed/>
    <w:qFormat/>
    <w:rsid w:val="004961C6"/>
    <w:pPr>
      <w:tabs>
        <w:tab w:val="center" w:pos="4513"/>
        <w:tab w:val="right" w:pos="9026"/>
      </w:tabs>
      <w:spacing w:before="0"/>
      <w:jc w:val="center"/>
    </w:pPr>
    <w:rPr>
      <w:sz w:val="18"/>
    </w:rPr>
  </w:style>
  <w:style w:type="character" w:customStyle="1" w:styleId="FooterChar">
    <w:name w:val="Footer Char"/>
    <w:basedOn w:val="DefaultParagraphFont"/>
    <w:link w:val="Footer"/>
    <w:uiPriority w:val="99"/>
    <w:rsid w:val="004961C6"/>
    <w:rPr>
      <w:rFonts w:ascii="Verdana" w:hAnsi="Verdana"/>
      <w:sz w:val="18"/>
    </w:rPr>
  </w:style>
  <w:style w:type="character" w:styleId="Hyperlink">
    <w:name w:val="Hyperlink"/>
    <w:basedOn w:val="DefaultParagraphFont"/>
    <w:uiPriority w:val="99"/>
    <w:unhideWhenUsed/>
    <w:rsid w:val="004961C6"/>
    <w:rPr>
      <w:color w:val="0000FF" w:themeColor="hyperlink"/>
      <w:u w:val="single"/>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
    <w:basedOn w:val="Normal"/>
    <w:link w:val="FootnoteTextChar"/>
    <w:unhideWhenUsed/>
    <w:qFormat/>
    <w:rsid w:val="004961C6"/>
    <w:pPr>
      <w:spacing w:before="0"/>
    </w:pPr>
    <w:rPr>
      <w:sz w:val="16"/>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
    <w:basedOn w:val="DefaultParagraphFont"/>
    <w:link w:val="FootnoteText"/>
    <w:rsid w:val="004961C6"/>
    <w:rPr>
      <w:rFonts w:ascii="Verdana" w:hAnsi="Verdana"/>
      <w:sz w:val="16"/>
      <w:szCs w:val="20"/>
    </w:rPr>
  </w:style>
  <w:style w:type="character" w:styleId="FootnoteReference">
    <w:name w:val="footnote reference"/>
    <w:aliases w:val="Verdana 11p Regular,hochgestellt"/>
    <w:basedOn w:val="DefaultParagraphFont"/>
    <w:uiPriority w:val="99"/>
    <w:unhideWhenUsed/>
    <w:rsid w:val="004961C6"/>
    <w:rPr>
      <w:rFonts w:ascii="Verdana" w:hAnsi="Verdana"/>
      <w:sz w:val="22"/>
      <w:vertAlign w:val="superscript"/>
    </w:rPr>
  </w:style>
  <w:style w:type="character" w:styleId="PlaceholderText">
    <w:name w:val="Placeholder Text"/>
    <w:basedOn w:val="DefaultParagraphFont"/>
    <w:uiPriority w:val="99"/>
    <w:semiHidden/>
    <w:rsid w:val="004961C6"/>
    <w:rPr>
      <w:color w:val="808080"/>
    </w:rPr>
  </w:style>
  <w:style w:type="paragraph" w:styleId="Title">
    <w:name w:val="Title"/>
    <w:aliases w:val="Document Title"/>
    <w:basedOn w:val="Normal"/>
    <w:next w:val="Normal"/>
    <w:link w:val="TitleChar"/>
    <w:uiPriority w:val="10"/>
    <w:qFormat/>
    <w:rsid w:val="004961C6"/>
    <w:pPr>
      <w:shd w:val="clear" w:color="auto" w:fill="D0E7F6"/>
      <w:spacing w:before="240" w:after="240"/>
      <w:jc w:val="center"/>
    </w:pPr>
    <w:rPr>
      <w:rFonts w:eastAsiaTheme="majorEastAsia" w:cstheme="majorBidi"/>
      <w:b/>
      <w:spacing w:val="5"/>
      <w:kern w:val="28"/>
      <w:sz w:val="40"/>
      <w:szCs w:val="52"/>
    </w:rPr>
  </w:style>
  <w:style w:type="character" w:customStyle="1" w:styleId="TitleChar">
    <w:name w:val="Title Char"/>
    <w:aliases w:val="Document Title Char"/>
    <w:basedOn w:val="DefaultParagraphFont"/>
    <w:link w:val="Title"/>
    <w:uiPriority w:val="10"/>
    <w:rsid w:val="004961C6"/>
    <w:rPr>
      <w:rFonts w:ascii="Verdana" w:eastAsiaTheme="majorEastAsia" w:hAnsi="Verdana" w:cstheme="majorBidi"/>
      <w:b/>
      <w:spacing w:val="5"/>
      <w:kern w:val="28"/>
      <w:sz w:val="40"/>
      <w:szCs w:val="52"/>
      <w:shd w:val="clear" w:color="auto" w:fill="D0E7F6"/>
    </w:rPr>
  </w:style>
  <w:style w:type="paragraph" w:customStyle="1" w:styleId="ReferenceNumber">
    <w:name w:val="Reference Number"/>
    <w:basedOn w:val="Normal"/>
    <w:qFormat/>
    <w:rsid w:val="004961C6"/>
    <w:pPr>
      <w:tabs>
        <w:tab w:val="left" w:pos="1480"/>
      </w:tabs>
      <w:spacing w:before="0"/>
      <w:jc w:val="right"/>
    </w:pPr>
    <w:rPr>
      <w:sz w:val="20"/>
      <w:szCs w:val="20"/>
    </w:rPr>
  </w:style>
  <w:style w:type="character" w:customStyle="1" w:styleId="Bold">
    <w:name w:val="Bold"/>
    <w:basedOn w:val="DefaultParagraphFont"/>
    <w:uiPriority w:val="1"/>
    <w:qFormat/>
    <w:rsid w:val="004961C6"/>
    <w:rPr>
      <w:b/>
    </w:rPr>
  </w:style>
  <w:style w:type="character" w:customStyle="1" w:styleId="Regular">
    <w:name w:val="Regular"/>
    <w:basedOn w:val="DefaultParagraphFont"/>
    <w:uiPriority w:val="1"/>
    <w:qFormat/>
    <w:rsid w:val="004961C6"/>
  </w:style>
  <w:style w:type="paragraph" w:styleId="BalloonText">
    <w:name w:val="Balloon Text"/>
    <w:basedOn w:val="Normal"/>
    <w:link w:val="BalloonTextChar"/>
    <w:uiPriority w:val="99"/>
    <w:semiHidden/>
    <w:unhideWhenUsed/>
    <w:rsid w:val="004961C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1C6"/>
    <w:rPr>
      <w:rFonts w:ascii="Tahoma" w:hAnsi="Tahoma" w:cs="Tahoma"/>
      <w:sz w:val="16"/>
      <w:szCs w:val="16"/>
    </w:rPr>
  </w:style>
  <w:style w:type="paragraph" w:styleId="ListParagraph">
    <w:name w:val="List Paragraph"/>
    <w:basedOn w:val="Normal"/>
    <w:uiPriority w:val="34"/>
    <w:qFormat/>
    <w:rsid w:val="00F83588"/>
    <w:pPr>
      <w:ind w:left="720"/>
      <w:contextualSpacing/>
    </w:pPr>
  </w:style>
  <w:style w:type="table" w:styleId="TableGrid">
    <w:name w:val="Table Grid"/>
    <w:basedOn w:val="TableNormal"/>
    <w:uiPriority w:val="59"/>
    <w:rsid w:val="00F83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49C2"/>
    <w:pPr>
      <w:tabs>
        <w:tab w:val="center" w:pos="4513"/>
        <w:tab w:val="right" w:pos="9026"/>
      </w:tabs>
      <w:spacing w:before="0"/>
    </w:pPr>
  </w:style>
  <w:style w:type="character" w:customStyle="1" w:styleId="HeaderChar">
    <w:name w:val="Header Char"/>
    <w:basedOn w:val="DefaultParagraphFont"/>
    <w:link w:val="Header"/>
    <w:uiPriority w:val="99"/>
    <w:rsid w:val="008549C2"/>
    <w:rPr>
      <w:rFonts w:ascii="Verdana" w:hAnsi="Verdana"/>
    </w:rPr>
  </w:style>
  <w:style w:type="character" w:styleId="CommentReference">
    <w:name w:val="annotation reference"/>
    <w:basedOn w:val="DefaultParagraphFont"/>
    <w:uiPriority w:val="99"/>
    <w:semiHidden/>
    <w:unhideWhenUsed/>
    <w:rsid w:val="008D53F9"/>
    <w:rPr>
      <w:sz w:val="16"/>
      <w:szCs w:val="16"/>
    </w:rPr>
  </w:style>
  <w:style w:type="paragraph" w:styleId="CommentText">
    <w:name w:val="annotation text"/>
    <w:basedOn w:val="Normal"/>
    <w:link w:val="CommentTextChar"/>
    <w:uiPriority w:val="99"/>
    <w:semiHidden/>
    <w:unhideWhenUsed/>
    <w:rsid w:val="008D53F9"/>
    <w:rPr>
      <w:sz w:val="20"/>
      <w:szCs w:val="20"/>
    </w:rPr>
  </w:style>
  <w:style w:type="character" w:customStyle="1" w:styleId="CommentTextChar">
    <w:name w:val="Comment Text Char"/>
    <w:basedOn w:val="DefaultParagraphFont"/>
    <w:link w:val="CommentText"/>
    <w:uiPriority w:val="99"/>
    <w:semiHidden/>
    <w:rsid w:val="008D53F9"/>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D53F9"/>
    <w:rPr>
      <w:b/>
      <w:bCs/>
    </w:rPr>
  </w:style>
  <w:style w:type="character" w:customStyle="1" w:styleId="CommentSubjectChar">
    <w:name w:val="Comment Subject Char"/>
    <w:basedOn w:val="CommentTextChar"/>
    <w:link w:val="CommentSubject"/>
    <w:uiPriority w:val="99"/>
    <w:semiHidden/>
    <w:rsid w:val="008D53F9"/>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s://eiopa.europa.eu/" TargetMode="External"/><Relationship Id="rId1" Type="http://schemas.openxmlformats.org/officeDocument/2006/relationships/hyperlink" Target="mailto:info@eiopa.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1068</Words>
  <Characters>6092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2017-06-01T09:12:00Z</dcterms:created>
  <dcterms:modified xsi:type="dcterms:W3CDTF">2017-06-29T15:22:00Z</dcterms:modified>
</cp:coreProperties>
</file>